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the centralized client database by performing regular data cleansing, profile merges, and quality audits to ensure accurate reporting and data integrity.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implement robust data governance and security protocols, ensuring all client data handling strictly adhered to internal privacy standards.</w:t>
        <w:br/>
      </w:r>
    </w:p>
    <w:p>
      <w:r>
        <w:rPr>
          <w:rFonts w:ascii="Times New Roman" w:hAnsi="Times New Roman"/>
          <w:sz w:val="20"/>
        </w:rPr>
        <w:br/>
        <w:t>• Designed and automated KPI reporting dashboards in Power BI, serving as the subject matter expert to provide actionable insights for clienteling and retail engagement strategies.</w:t>
        <w:br/>
      </w:r>
    </w:p>
    <w:p>
      <w:r>
        <w:rPr>
          <w:rFonts w:ascii="Times New Roman" w:hAnsi="Times New Roman"/>
          <w:sz w:val="20"/>
        </w:rPr>
        <w:br/>
        <w:t>• Partnered with stakeholders to extract and refine client lists for targeted marketing campaigns, directly supporting customer acquisition, retention, and boutique activation efforts.</w:t>
        <w:br/>
      </w:r>
    </w:p>
    <w:p>
      <w:r>
        <w:rPr>
          <w:rFonts w:ascii="Times New Roman" w:hAnsi="Times New Roman"/>
          <w:sz w:val="20"/>
        </w:rPr>
        <w:br/>
        <w:t>• Facilitated training sessions for retail staff on data input best practices, ensuring high-quality data capture at the point of sale to improve overall database accuracy.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