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sales funnel performance by developing Power BI dashboards to track conversion metrics, resulting in improved lead-to-customer visibility and a 300% increase in acquisition.</w:t>
        <w:br/>
      </w:r>
    </w:p>
    <w:p>
      <w:r>
        <w:rPr>
          <w:rFonts w:ascii="Times New Roman" w:hAnsi="Times New Roman"/>
          <w:sz w:val="20"/>
        </w:rPr>
        <w:br/>
        <w:t>• Built and maintained predictive forecasting models using historical sales data to identify revenue trends and risks, directly informing quarterly operational planning and backlog pacing.</w:t>
        <w:br/>
      </w:r>
    </w:p>
    <w:p>
      <w:r>
        <w:rPr>
          <w:rFonts w:ascii="Times New Roman" w:hAnsi="Times New Roman"/>
          <w:sz w:val="20"/>
        </w:rPr>
        <w:br/>
        <w:t>• Applied strong financial acumen to synthesize complex operational data into executive-ready business insights, influencing strategic decisions that improved overall team efficiency by 25%.</w:t>
        <w:br/>
      </w:r>
    </w:p>
    <w:p>
      <w:r>
        <w:rPr>
          <w:rFonts w:ascii="Times New Roman" w:hAnsi="Times New Roman"/>
          <w:sz w:val="20"/>
        </w:rPr>
        <w:br/>
        <w:t>• Partnered with cross-functional leadership to refine revenue planning processes, utilizing CRM-based data to reconcile performance against targets and improve forecast accuracy.</w:t>
        <w:br/>
      </w:r>
    </w:p>
    <w:p>
      <w:r>
        <w:rPr>
          <w:rFonts w:ascii="Times New Roman" w:hAnsi="Times New Roman"/>
          <w:sz w:val="20"/>
        </w:rPr>
        <w:br/>
        <w:t>• Analyzed full-cycle commercial performance, including pipeline progression and conversion trends, to provide stakeholders with actionable recommendations for optimizing resource allocation.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