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Power BI and Looker workflows to replace manual written reporting, reducing data mismatches and improving work efficiency by 40%, leveraging **SQL** and **data modeling** principles.</w:t>
        <w:br/>
      </w:r>
    </w:p>
    <w:p>
      <w:r>
        <w:rPr>
          <w:rFonts w:ascii="Times New Roman" w:hAnsi="Times New Roman"/>
          <w:sz w:val="20"/>
        </w:rPr>
        <w:br/>
        <w:t>• Built Python automation for weekly sales and operations reports (ingesting POS and CRM data), eliminating repetitive data entry and saving 8 hours per week, contributing to **ETL pipeline** best practices and improving reporting accuracy for faster strategic decisions.</w:t>
        <w:br/>
      </w:r>
    </w:p>
    <w:p>
      <w:r>
        <w:rPr>
          <w:rFonts w:ascii="Times New Roman" w:hAnsi="Times New Roman"/>
          <w:sz w:val="20"/>
        </w:rPr>
        <w:br/>
        <w:t>• Designed and executed A/B tests for digital marketing campaigns to measure audience response and lift, providing the statistical evidence needed to optimize marketing spend and demonstrating foundational **machine learning** concepts.</w:t>
        <w:br/>
      </w:r>
    </w:p>
    <w:p>
      <w:r>
        <w:rPr>
          <w:rFonts w:ascii="Times New Roman" w:hAnsi="Times New Roman"/>
          <w:sz w:val="20"/>
        </w:rPr>
        <w:br/>
        <w:t>• Architected a production-grade ELT pipeline in Python and SQL to ingest time-series economic data into BigQuery, enabling fast reporting and forecasting; modeled raw API data into a dbt star schema to optimize query performance and deployed via a GitHub Actions **CI/CD** pipeline.</w:t>
        <w:br/>
      </w:r>
    </w:p>
    <w:p>
      <w:r>
        <w:rPr>
          <w:rFonts w:ascii="Times New Roman" w:hAnsi="Times New Roman"/>
          <w:sz w:val="20"/>
        </w:rPr>
        <w:br/>
        <w:t>• Created statistical models to identify high-value customer segments; targeted marketing initiatives informed by these models contributed to a 300% increase in revenue in the targeted segment over 12 months, demonstrating experience in building **business value** and supporting **customer-facing** initiatives.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