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CRM data, specifically Salesforce, with SQL-based pipelines to synchronize customer activity, significantly enhancing data accuracy for downstream analytics.</w:t>
        <w:br/>
      </w:r>
    </w:p>
    <w:p>
      <w:r>
        <w:rPr>
          <w:rFonts w:ascii="Times New Roman" w:hAnsi="Times New Roman"/>
          <w:sz w:val="20"/>
        </w:rPr>
        <w:br/>
        <w:t>• Collaborated within a geographically distributed, cross-functional environment to align technical data models with business requirements in the financial services sector.</w:t>
        <w:br/>
      </w:r>
    </w:p>
    <w:p>
      <w:r>
        <w:rPr>
          <w:rFonts w:ascii="Times New Roman" w:hAnsi="Times New Roman"/>
          <w:sz w:val="20"/>
        </w:rPr>
        <w:br/>
        <w:t>• Designed and optimized complex data models using advanced SQL window functions and CTEs to support high-stakes financial reporting and wealth management decision-making.</w:t>
        <w:br/>
      </w:r>
    </w:p>
    <w:p>
      <w:r>
        <w:rPr>
          <w:rFonts w:ascii="Times New Roman" w:hAnsi="Times New Roman"/>
          <w:sz w:val="20"/>
        </w:rPr>
        <w:br/>
        <w:t>• Developed automated workflows for data ingestion and quality validation, demonstrating the ability to function as a lead engineer on critical infrastructure projects.</w:t>
        <w:br/>
      </w:r>
    </w:p>
    <w:p>
      <w:r>
        <w:rPr>
          <w:rFonts w:ascii="Times New Roman" w:hAnsi="Times New Roman"/>
          <w:sz w:val="20"/>
        </w:rPr>
        <w:br/>
        <w:t>• Engineered robust data pipelines leveraging REST APIs and GraphQL to facilitate seamless data integration and real-time observability across enterprise systems.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