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lead generation workflows in Python to aggregate M&amp;A transaction announcements and SEC filings (Form 4/144), transforming raw financial data into actionable prospect lists.</w:t>
        <w:br/>
      </w:r>
    </w:p>
    <w:p>
      <w:r>
        <w:rPr>
          <w:rFonts w:ascii="Times New Roman" w:hAnsi="Times New Roman"/>
          <w:sz w:val="20"/>
        </w:rPr>
        <w:br/>
        <w:t>• Utilized LinkedIn Sales Navigator and CRM-integrated research tools to perform data enrichment, identifying high-value wealth-generating triggers and mapping relationship paths for business development.</w:t>
        <w:br/>
      </w:r>
    </w:p>
    <w:p>
      <w:r>
        <w:rPr>
          <w:rFonts w:ascii="Times New Roman" w:hAnsi="Times New Roman"/>
          <w:sz w:val="20"/>
        </w:rPr>
        <w:br/>
        <w:t>• Engineered a lead scoring model using historical data to qualify prospects based on investable assets and liquidity event signals, delivering prioritized outreach batches for sales teams.</w:t>
        <w:br/>
      </w:r>
    </w:p>
    <w:p>
      <w:r>
        <w:rPr>
          <w:rFonts w:ascii="Times New Roman" w:hAnsi="Times New Roman"/>
          <w:sz w:val="20"/>
        </w:rPr>
        <w:br/>
        <w:t>• Optimized CRM data quality by cleaning and standardizing property records and institutional connection data, ensuring a reliable 'single source of truth' for lead qualification.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align prospect targeting strategies, utilizing data analysis to refine search parameters for high-net-worth business owners.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