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Developed predictive models for customer churn and risk analysis using Python libraries including Scikit-learn and XGBoost to identify high-value segments and support strategic decision-making.</w:t>
        <w:br/>
      </w:r>
    </w:p>
    <w:p>
      <w:r>
        <w:rPr>
          <w:rFonts w:ascii="Times New Roman" w:hAnsi="Times New Roman"/>
          <w:sz w:val="20"/>
        </w:rPr>
        <w:br/>
        <w:t>• Engineered NLP-based data pipelines to extract and classify metadata from unstructured service logs, improving data quality and feature availability for downstream predictive modeling.</w:t>
        <w:br/>
      </w:r>
    </w:p>
    <w:p>
      <w:r>
        <w:rPr>
          <w:rFonts w:ascii="Times New Roman" w:hAnsi="Times New Roman"/>
          <w:sz w:val="20"/>
        </w:rPr>
        <w:br/>
        <w:t>• Applied gradient boosting techniques (LightGBM) to refine lending risk portfolio metrics, increasing the accuracy of default prediction models by optimizing feature selection.</w:t>
        <w:br/>
      </w:r>
    </w:p>
    <w:p>
      <w:r>
        <w:rPr>
          <w:rFonts w:ascii="Times New Roman" w:hAnsi="Times New Roman"/>
          <w:sz w:val="20"/>
        </w:rPr>
        <w:br/>
        <w:t>• Migrated legacy on-premise data processing workflows to cloud-based environments similar to Databricks, utilizing AWS infrastructure to enhance ETL scalability and performance.</w:t>
        <w:br/>
      </w:r>
    </w:p>
    <w:p>
      <w:r>
        <w:rPr>
          <w:rFonts w:ascii="Times New Roman" w:hAnsi="Times New Roman"/>
          <w:sz w:val="20"/>
        </w:rPr>
        <w:br/>
        <w:t>• Built automated data quality checks and normalization routines using statistical validation logic to prepare datasets for advanced machine learning applications.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