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loan risk using statistical concepts such as hypothesis testing and regression analysis to identify key default drivers within a 2M+ row portfolio, enabling more accurate credit segmentation.</w:t>
        <w:br/>
      </w:r>
    </w:p>
    <w:p>
      <w:r>
        <w:rPr>
          <w:rFonts w:ascii="Times New Roman" w:hAnsi="Times New Roman"/>
          <w:sz w:val="20"/>
        </w:rPr>
        <w:br/>
        <w:t>• Monitored key performance indicators (KPIs) and identified data anomalies through statistical trend analysis, ensuring 99% data accuracy across operational dashboards.</w:t>
        <w:br/>
      </w:r>
    </w:p>
    <w:p>
      <w:r>
        <w:rPr>
          <w:rFonts w:ascii="Times New Roman" w:hAnsi="Times New Roman"/>
          <w:sz w:val="20"/>
        </w:rPr>
        <w:br/>
        <w:t>• Applied statistical methods including descriptive and inferential analysis to population datasets to uncover demographic patterns, supporting evidence-based crime prevention strategies.</w:t>
        <w:br/>
      </w:r>
    </w:p>
    <w:p>
      <w:r>
        <w:rPr>
          <w:rFonts w:ascii="Times New Roman" w:hAnsi="Times New Roman"/>
          <w:sz w:val="20"/>
        </w:rPr>
        <w:br/>
        <w:t>• Evaluated organizational performance by aligning data workflows with performance reporting frameworks, ensuring all documentation and visualizations met standardized business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