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time-series models for customer segmentation and demand forecasting, identifying key drivers to optimize annual budgeting and resource allocation.</w:t>
        <w:br/>
      </w:r>
    </w:p>
    <w:p>
      <w:r>
        <w:rPr>
          <w:rFonts w:ascii="Times New Roman" w:hAnsi="Times New Roman"/>
          <w:sz w:val="20"/>
        </w:rPr>
        <w:br/>
        <w:t>• Performed variance analysis on operational KPIs at Shine Masters, identifying performance discrepancies and recommending cost-optimization strategies to improve bottom-line efficiency.</w:t>
        <w:br/>
      </w:r>
    </w:p>
    <w:p>
      <w:r>
        <w:rPr>
          <w:rFonts w:ascii="Times New Roman" w:hAnsi="Times New Roman"/>
          <w:sz w:val="20"/>
        </w:rPr>
        <w:br/>
        <w:t>• Engineered complex SQL data models and financial reporting dashboards in Power BI to monitor budget utilization and track performance against quarterly financial goals.</w:t>
        <w:br/>
      </w:r>
    </w:p>
    <w:p>
      <w:r>
        <w:rPr>
          <w:rFonts w:ascii="Times New Roman" w:hAnsi="Times New Roman"/>
          <w:sz w:val="20"/>
        </w:rPr>
        <w:br/>
        <w:t>• Analyzed large-scale insurance testing data at Haven Technologies, performing data-driven reconciliations to ensure the accuracy of financial statements and operational reporting.</w:t>
        <w:br/>
      </w:r>
    </w:p>
    <w:p>
      <w:r>
        <w:rPr>
          <w:rFonts w:ascii="Times New Roman" w:hAnsi="Times New Roman"/>
          <w:sz w:val="20"/>
        </w:rPr>
        <w:br/>
        <w:t>• Conducted competitive market research and synthesized complex datasets into actionable financial insights to support management with data-driven strategic planning.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