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financial datasets into ETL pipelines using Python and AWS S3, ensuring high-frequency data availability for downstream analysis and regulatory reporting compliance.</w:t>
        <w:br/>
      </w:r>
    </w:p>
    <w:p>
      <w:r>
        <w:rPr>
          <w:rFonts w:ascii="Times New Roman" w:hAnsi="Times New Roman"/>
          <w:sz w:val="20"/>
        </w:rPr>
        <w:br/>
        <w:t>• Engineered scalable data models in Snowflake, applying quantitative techniques to assess derivative product risk profiles and support trade lifecycle reporting.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reconcile static trade data, applying SQL-based validation to ensure accuracy within complex treasury management workflows.</w:t>
        <w:br/>
      </w:r>
    </w:p>
    <w:p>
      <w:r>
        <w:rPr>
          <w:rFonts w:ascii="Times New Roman" w:hAnsi="Times New Roman"/>
          <w:sz w:val="20"/>
        </w:rPr>
        <w:br/>
        <w:t>• Developed automated reporting scripts in Python, incorporating logic to flag anomalies in trade input data, mirroring the functionality of sophisticated treasury management systems.</w:t>
        <w:br/>
      </w:r>
    </w:p>
    <w:p>
      <w:r>
        <w:rPr>
          <w:rFonts w:ascii="Times New Roman" w:hAnsi="Times New Roman"/>
          <w:sz w:val="20"/>
        </w:rPr>
        <w:br/>
        <w:t>• Leveraged C++ foundations and advanced SQL query optimization to process large-scale financial datasets, contributing to performant decision-support systems.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