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loan portfolio reporting by developing automated Excel macros and VBA scripts to reconcile securitization data, reducing manual data entry time by 15%.</w:t>
        <w:br/>
      </w:r>
    </w:p>
    <w:p>
      <w:r>
        <w:rPr>
          <w:rFonts w:ascii="Times New Roman" w:hAnsi="Times New Roman"/>
          <w:sz w:val="20"/>
        </w:rPr>
        <w:br/>
        <w:t>• Applied algorithmic development principles in Python to refine predictive models, enhancing the accuracy of loan default risk assessments and securitization cash flow projections.</w:t>
        <w:br/>
      </w:r>
    </w:p>
    <w:p>
      <w:r>
        <w:rPr>
          <w:rFonts w:ascii="Times New Roman" w:hAnsi="Times New Roman"/>
          <w:sz w:val="20"/>
        </w:rPr>
        <w:br/>
        <w:t>• Performed complex financial modeling and Monte Carlo-style simulations using Python to stress-test loan portfolios against various market volatility scenarios.</w:t>
        <w:br/>
      </w:r>
    </w:p>
    <w:p>
      <w:r>
        <w:rPr>
          <w:rFonts w:ascii="Times New Roman" w:hAnsi="Times New Roman"/>
          <w:sz w:val="20"/>
        </w:rPr>
        <w:br/>
        <w:t>• Assisted in the end-to-end management of loan securitization pipelines, ensuring data integrity across warehouse facilities and institutional transaction documentation.</w:t>
        <w:br/>
      </w:r>
    </w:p>
    <w:p>
      <w:r>
        <w:rPr>
          <w:rFonts w:ascii="Times New Roman" w:hAnsi="Times New Roman"/>
          <w:sz w:val="20"/>
        </w:rPr>
        <w:br/>
        <w:t>• Collaborated with senior financial quants to integrate statistical analysis outputs into actionable business intelligence reports for corporate advisory projects.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