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'single source of truth' for all business stakeholders and a reduction in report discrepancies, demonstrating a strong foundation in data governance principles relevant to financial risk.</w:t>
        <w:br/>
      </w:r>
    </w:p>
    <w:p>
      <w:r>
        <w:rPr>
          <w:rFonts w:ascii="Times New Roman" w:hAnsi="Times New Roman"/>
          <w:sz w:val="20"/>
        </w:rPr>
        <w:br/>
        <w:t>• Developed Python automation for weekly sales and operations reports (ingesting POS and CRM data), demonstrating proficiency in Python and automation for streamlined data processes within a business context.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showcasing analytical rigor applicable to risk assessment.</w:t>
        <w:br/>
      </w:r>
    </w:p>
    <w:p>
      <w:r>
        <w:rPr>
          <w:rFonts w:ascii="Times New Roman" w:hAnsi="Times New Roman"/>
          <w:sz w:val="20"/>
        </w:rPr>
        <w:br/>
        <w:t>• Collaborated with product managers on a 14-person team to align features with business objectives, streamlining the software development workflow and reducing delivery delays by 25%, highlighting experience in guiding and influencing stakeholders within a technology-driven environment.</w:t>
        <w:br/>
      </w:r>
    </w:p>
    <w:p>
      <w:r>
        <w:rPr>
          <w:rFonts w:ascii="Times New Roman" w:hAnsi="Times New Roman"/>
          <w:sz w:val="20"/>
        </w:rPr>
        <w:br/>
        <w:t>• Automated data quality validation with Great Expectations to ensure pipeline reliability, deploying the final solution via a GitHub Actions CI/CD pipeline, demonstrating an understanding of robust deployment practices essential for enterprise solutions.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