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 end-to-end travel and entertainment (T&amp;E) expense reporting and reconciliation using automated systems, ensuring 100% compliance with corporate travel and expense policies.</w:t>
        <w:br/>
      </w:r>
    </w:p>
    <w:p>
      <w:r>
        <w:rPr>
          <w:rFonts w:ascii="Times New Roman" w:hAnsi="Times New Roman"/>
          <w:sz w:val="20"/>
        </w:rPr>
        <w:br/>
        <w:t>• Execute high-volume invoice processing through Procure-to-Pay (P2P) systems, maintaining meticulous records and ensuring timely vendor payments.</w:t>
        <w:br/>
      </w:r>
    </w:p>
    <w:p>
      <w:r>
        <w:rPr>
          <w:rFonts w:ascii="Times New Roman" w:hAnsi="Times New Roman"/>
          <w:sz w:val="20"/>
        </w:rPr>
        <w:br/>
        <w:t>• Apply a rigorous approach to risk and compliance, proactively identifying and escalating control issues to protect firm reputation and adhere to internal governance and regulatory standards.</w:t>
        <w:br/>
      </w:r>
    </w:p>
    <w:p>
      <w:r>
        <w:rPr>
          <w:rFonts w:ascii="Times New Roman" w:hAnsi="Times New Roman"/>
          <w:sz w:val="20"/>
        </w:rPr>
        <w:br/>
        <w:t>• Leverage advanced proficiency in Microsoft Office to modify complex presentations and financial spreadsheets, providing high-level support to C-level management.</w:t>
        <w:br/>
      </w:r>
    </w:p>
    <w:p>
      <w:r>
        <w:rPr>
          <w:rFonts w:ascii="Times New Roman" w:hAnsi="Times New Roman"/>
          <w:sz w:val="20"/>
        </w:rPr>
        <w:br/>
        <w:t>• Train and mentor junior administrative staff on departmental best practices, system workflows, and organizational standards to drive team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