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deployed automated reports and dashboards using server-side scripting and scheduling tools, enhancing data accessibility and timeliness for stakeholders.</w:t>
        <w:br/>
      </w:r>
    </w:p>
    <w:p>
      <w:r>
        <w:rPr>
          <w:rFonts w:ascii="Times New Roman" w:hAnsi="Times New Roman"/>
          <w:sz w:val="20"/>
        </w:rPr>
        <w:br/>
        <w:t>• Leveraged Python, including libraries like Pandas and NumPy, to perform extensive data mining and machine learning techniques, uncovering hidden patterns and insights from large datasets.</w:t>
        <w:br/>
      </w:r>
    </w:p>
    <w:p>
      <w:r>
        <w:rPr>
          <w:rFonts w:ascii="Times New Roman" w:hAnsi="Times New Roman"/>
          <w:sz w:val="20"/>
        </w:rPr>
        <w:br/>
        <w:t>• Integrated data from multiple sources, including APIs and PostgreSQL warehouses, and utilized cloud computing platforms such as AWS (S3) to build robust data infrastructures supporting downstream analytics.</w:t>
        <w:br/>
      </w:r>
    </w:p>
    <w:p>
      <w:r>
        <w:rPr>
          <w:rFonts w:ascii="Times New Roman" w:hAnsi="Times New Roman"/>
          <w:sz w:val="20"/>
        </w:rPr>
        <w:br/>
        <w:t>• Created compelling and informative data visualizations using both Tableau and Dash, effectively communicating complex data through clear and concise visualizations.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campaigns, providing the statistical evidence needed to optimize marketing spend and measure audience response.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