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migrate legacy data structures to SQL Server and PostgreSQL environments, ensuring high availability and robust data integrity.</w:t>
        <w:br/>
      </w:r>
    </w:p>
    <w:p>
      <w:r>
        <w:rPr>
          <w:rFonts w:ascii="Times New Roman" w:hAnsi="Times New Roman"/>
          <w:sz w:val="20"/>
        </w:rPr>
        <w:br/>
        <w:t>• Engineered scalable ETL/ELT pipelines using Python and SQL, with foundational experience in cloud-native integration tools and data orchestration workflows equivalent to Azure Data Factory.</w:t>
        <w:br/>
      </w:r>
    </w:p>
    <w:p>
      <w:r>
        <w:rPr>
          <w:rFonts w:ascii="Times New Roman" w:hAnsi="Times New Roman"/>
          <w:sz w:val="20"/>
        </w:rPr>
        <w:br/>
        <w:t>• Optimized database performance by implementing advanced indexing, query tuning, and partitioning strategies, applying best practices common to high-volume SQL Server and Oracle environments.</w:t>
        <w:br/>
      </w:r>
    </w:p>
    <w:p>
      <w:r>
        <w:rPr>
          <w:rFonts w:ascii="Times New Roman" w:hAnsi="Times New Roman"/>
          <w:sz w:val="20"/>
        </w:rPr>
        <w:br/>
        <w:t>• Applied data engineering principles to analyze large-scale, semi-structured datasets, building knowledge of NoSQL patterns similar to MongoDB and Cosmos DB for modern data storage.</w:t>
        <w:br/>
      </w:r>
    </w:p>
    <w:p>
      <w:r>
        <w:rPr>
          <w:rFonts w:ascii="Times New Roman" w:hAnsi="Times New Roman"/>
          <w:sz w:val="20"/>
        </w:rPr>
        <w:br/>
        <w:t>• Maintained rigorous data documentation and security protocols, while actively pursuing professional development in Azure Data Services to complement existing GCP expertise.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