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modular data models and transformation pipelines using SQL and Python, incorporating best practices similar to dbt to ensure clean, maintainable metrics for business stakeholders.</w:t>
        <w:br/>
      </w:r>
    </w:p>
    <w:p>
      <w:r>
        <w:rPr>
          <w:rFonts w:ascii="Times New Roman" w:hAnsi="Times New Roman"/>
          <w:sz w:val="20"/>
        </w:rPr>
        <w:br/>
        <w:t>• Engineered and automated end-to-end data pipelines, including reverse ETL workflows to sync modeled insights back into CRM and operational platforms to drive data-informed decision-making.</w:t>
        <w:br/>
      </w:r>
    </w:p>
    <w:p>
      <w:r>
        <w:rPr>
          <w:rFonts w:ascii="Times New Roman" w:hAnsi="Times New Roman"/>
          <w:sz w:val="20"/>
        </w:rPr>
        <w:br/>
        <w:t>• Built and maintained complex BI dashboards in Tableau and Power BI, with a proven ability to rapidly adapt to new visualization tools like Sigma or Looker.</w:t>
        <w:br/>
      </w:r>
    </w:p>
    <w:p>
      <w:r>
        <w:rPr>
          <w:rFonts w:ascii="Times New Roman" w:hAnsi="Times New Roman"/>
          <w:sz w:val="20"/>
        </w:rPr>
        <w:br/>
        <w:t>• Utilized Python-based notebook environments (Jupyter/Hex) to perform deep-dive exploratory data analysis, translating complex business questions into actionable, well-reasoned analytical insights.</w:t>
        <w:br/>
      </w:r>
    </w:p>
    <w:p>
      <w:r>
        <w:rPr>
          <w:rFonts w:ascii="Times New Roman" w:hAnsi="Times New Roman"/>
          <w:sz w:val="20"/>
        </w:rPr>
        <w:br/>
        <w:t>• Collaborated with product teams to define and track key growth metrics, applying data modeling techniques to build reliable tables that support scalable, product-led GTM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