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Supported executive-led performance review cycles by coordinating scheduling, tracking feedback completion, and preparing organizational documentation for leadership reviews.</w:t>
        <w:br/>
      </w:r>
    </w:p>
    <w:p>
      <w:r>
        <w:rPr>
          <w:rFonts w:ascii="Times New Roman" w:hAnsi="Times New Roman"/>
          <w:sz w:val="20"/>
        </w:rPr>
        <w:br/>
        <w:t>• Managed timekeeping processes and payroll verification for staff, ensuring accurate reporting and resolving payroll discrepancies in compliance with company policy.</w:t>
        <w:br/>
      </w:r>
    </w:p>
    <w:p>
      <w:r>
        <w:rPr>
          <w:rFonts w:ascii="Times New Roman" w:hAnsi="Times New Roman"/>
          <w:sz w:val="20"/>
        </w:rPr>
        <w:br/>
        <w:t>• Led and mentored junior administrative staff on operational workflows and best practices to ensure consistent support quality across the department.</w:t>
        <w:br/>
      </w:r>
    </w:p>
    <w:p>
      <w:r>
        <w:rPr>
          <w:rFonts w:ascii="Times New Roman" w:hAnsi="Times New Roman"/>
          <w:sz w:val="20"/>
        </w:rPr>
        <w:br/>
        <w:t>• Applied working knowledge of industry-specific compliance and regulatory standards to handle high-level documentation, ensuring organizational adherence to operational requirements.</w:t>
        <w:br/>
      </w:r>
    </w:p>
    <w:p>
      <w:r>
        <w:rPr>
          <w:rFonts w:ascii="Times New Roman" w:hAnsi="Times New Roman"/>
          <w:sz w:val="20"/>
        </w:rPr>
        <w:br/>
        <w:t>• Collaborated with department leaders to audit and streamline cost center documentation, facilitating accurate budget tracking and organizational administration.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