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consumer forecasting models in Python, leveraging advanced analytics to improve forecast accuracy and adaptability to shifting market conditions.</w:t>
        <w:br/>
      </w:r>
    </w:p>
    <w:p>
      <w:r>
        <w:rPr>
          <w:rFonts w:ascii="Times New Roman" w:hAnsi="Times New Roman"/>
          <w:sz w:val="20"/>
        </w:rPr>
        <w:br/>
        <w:t>• Engineered and operationalized scalable analytics solutions by productionizing Python data pipelines using CI/CD, directly reducing manual workflow time by 20% for marketing teams.</w:t>
        <w:br/>
      </w:r>
    </w:p>
    <w:p>
      <w:r>
        <w:rPr>
          <w:rFonts w:ascii="Times New Roman" w:hAnsi="Times New Roman"/>
          <w:sz w:val="20"/>
        </w:rPr>
        <w:br/>
        <w:t>• Performed complex SQL queries utilizing window functions and CTEs to perform deep-dive consumer behavior analysis, translating findings into actionable growth strategies.</w:t>
        <w:br/>
      </w:r>
    </w:p>
    <w:p>
      <w:r>
        <w:rPr>
          <w:rFonts w:ascii="Times New Roman" w:hAnsi="Times New Roman"/>
          <w:sz w:val="20"/>
        </w:rPr>
        <w:br/>
        <w:t>• Integrated AI-driven insights into existing BI dashboards, enabling stakeholders to visualize performance trends and perform advanced analysis for improved decision-making.</w:t>
        <w:br/>
      </w:r>
    </w:p>
    <w:p>
      <w:r>
        <w:rPr>
          <w:rFonts w:ascii="Times New Roman" w:hAnsi="Times New Roman"/>
          <w:sz w:val="20"/>
        </w:rPr>
        <w:br/>
        <w:t>• Collaborated with engineering teams to integrate and scale data models into self-serve tools, ensuring reliable data delivery across the organization for over 3 years of total analytical practice.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