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quality by designing and implementing validation schemas in PostgreSQL and Python, ensuring 99% accuracy in downstream reporting and alignment with data governance standards.</w:t>
        <w:br/>
      </w:r>
    </w:p>
    <w:p>
      <w:r>
        <w:rPr>
          <w:rFonts w:ascii="Times New Roman" w:hAnsi="Times New Roman"/>
          <w:sz w:val="20"/>
        </w:rPr>
        <w:br/>
        <w:t>• Established data stewardship practices by documenting SOPs for operational workflows, ensuring data security compliance and consistency in data lifecycle management across all client accounts.</w:t>
        <w:br/>
      </w:r>
    </w:p>
    <w:p>
      <w:r>
        <w:rPr>
          <w:rFonts w:ascii="Times New Roman" w:hAnsi="Times New Roman"/>
          <w:sz w:val="20"/>
        </w:rPr>
        <w:br/>
        <w:t>• Designed data integration frameworks to clean and consolidate multi-source data, enhancing data security and integrity by implementing strict access controls and validation protocols.</w:t>
        <w:br/>
      </w:r>
    </w:p>
    <w:p>
      <w:r>
        <w:rPr>
          <w:rFonts w:ascii="Times New Roman" w:hAnsi="Times New Roman"/>
          <w:sz w:val="20"/>
        </w:rPr>
        <w:br/>
        <w:t>• Spearheaded the development of a data governance-focused project documentation suite in Confluence, tracking data lineage and audit trails to improve compliance with internal data management policies.</w:t>
        <w:br/>
      </w:r>
    </w:p>
    <w:p>
      <w:r>
        <w:rPr>
          <w:rFonts w:ascii="Times New Roman" w:hAnsi="Times New Roman"/>
          <w:sz w:val="20"/>
        </w:rPr>
        <w:br/>
        <w:t>• Led initiatives to enhance data quality by identifying and remediating process bottlenecks, ensuring high-integrity datasets for senior leadership dashboards and decision-support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