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Streamlined client onboarding and knowledge flow by building automated workflows in Power Automate and Power Apps, saving 8 hours of manual data entry per week.</w:t>
        <w:br/>
      </w:r>
    </w:p>
    <w:p>
      <w:r>
        <w:rPr>
          <w:rFonts w:ascii="Times New Roman" w:hAnsi="Times New Roman"/>
          <w:sz w:val="20"/>
        </w:rPr>
        <w:br/>
        <w:t>• Developed and governed metadata structures and taxonomies for client documentation, ensuring consistent content categorization and improved searchability across operational repositories.</w:t>
        <w:br/>
      </w:r>
    </w:p>
    <w:p>
      <w:r>
        <w:rPr>
          <w:rFonts w:ascii="Times New Roman" w:hAnsi="Times New Roman"/>
          <w:sz w:val="20"/>
        </w:rPr>
        <w:br/>
        <w:t>• Built advanced Power BI datasets using Power Query and DAX to enable self-service knowledge discovery and real-time performance monitoring for stakeholders.</w:t>
        <w:br/>
      </w:r>
    </w:p>
    <w:p>
      <w:r>
        <w:rPr>
          <w:rFonts w:ascii="Times New Roman" w:hAnsi="Times New Roman"/>
          <w:sz w:val="20"/>
        </w:rPr>
        <w:br/>
        <w:t>• Architected relational database schemas and data models using SQL and semantic principles to support enterprise-wide knowledge sharing and content indexing.</w:t>
        <w:br/>
      </w:r>
    </w:p>
    <w:p>
      <w:r>
        <w:rPr>
          <w:rFonts w:ascii="Times New Roman" w:hAnsi="Times New Roman"/>
          <w:sz w:val="20"/>
        </w:rPr>
        <w:br/>
        <w:t>• Integrated AI tools to perform automated content gap analysis and trend identification, translating unstructured performance data into actionable strategic insights.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