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to clean clinical and insurance datasets, ensuring strict adherence to data integrity, HIPAA compliance protocols, and institutional research ethics.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provide analytical support for internal audits, regulatory reporting, and accreditation reviews, ensuring all data outputs met quality standards.</w:t>
        <w:br/>
      </w:r>
    </w:p>
    <w:p>
      <w:r>
        <w:rPr>
          <w:rFonts w:ascii="Times New Roman" w:hAnsi="Times New Roman"/>
          <w:sz w:val="20"/>
        </w:rPr>
        <w:br/>
        <w:t>• Assisted in the preparation of technical reports and data visualizations used to support grant submissions and the publication of research findings.</w:t>
        <w:br/>
      </w:r>
    </w:p>
    <w:p>
      <w:r>
        <w:rPr>
          <w:rFonts w:ascii="Times New Roman" w:hAnsi="Times New Roman"/>
          <w:sz w:val="20"/>
        </w:rPr>
        <w:br/>
        <w:t>• Streamlined data processing workflows by automating extraction and reporting, applying statistical methodologies in R and Python to correlate experimental datasets for Principal Investigators.</w:t>
        <w:br/>
      </w:r>
    </w:p>
    <w:p>
      <w:r>
        <w:rPr>
          <w:rFonts w:ascii="Times New Roman" w:hAnsi="Times New Roman"/>
          <w:sz w:val="20"/>
        </w:rPr>
        <w:br/>
        <w:t>• Developed robust data systems and pipelines to handle clinical data, ensuring secure storage and rigorous validation checks consistent with FDA and institutional research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