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ETL pipelines to ingest and harmonize disparate datasets—modeled after Electronic Health Records (EHR)—ensuring high data integrity and consistency for downstream predictive analysis.</w:t>
        <w:br/>
      </w:r>
    </w:p>
    <w:p>
      <w:r>
        <w:rPr>
          <w:rFonts w:ascii="Times New Roman" w:hAnsi="Times New Roman"/>
          <w:sz w:val="20"/>
        </w:rPr>
        <w:br/>
        <w:t>• Applied advanced statistical modeling and machine learning techniques, such as time-series forecasting, to identify high-value segments, effectively mimicking clinical prediction modeling methodologies to support health-related outcomes.</w:t>
        <w:br/>
      </w:r>
    </w:p>
    <w:p>
      <w:r>
        <w:rPr>
          <w:rFonts w:ascii="Times New Roman" w:hAnsi="Times New Roman"/>
          <w:sz w:val="20"/>
        </w:rPr>
        <w:br/>
        <w:t>• Maintained rigorous documentation and adherence to data privacy and regulatory protocols, ensuring compliance with strict confidentiality requirements and data governance standards equivalent to IRB research guidelines.</w:t>
        <w:br/>
      </w:r>
    </w:p>
    <w:p>
      <w:r>
        <w:rPr>
          <w:rFonts w:ascii="Times New Roman" w:hAnsi="Times New Roman"/>
          <w:sz w:val="20"/>
        </w:rPr>
        <w:br/>
        <w:t>• Collaborated on cross-functional projects by synthesizing complex technical requirements into literature summaries and research reports, facilitating effective evidence-based decision-making for internal stakeholders.</w:t>
        <w:br/>
      </w:r>
    </w:p>
    <w:p>
      <w:r>
        <w:rPr>
          <w:rFonts w:ascii="Times New Roman" w:hAnsi="Times New Roman"/>
          <w:sz w:val="20"/>
        </w:rPr>
        <w:br/>
        <w:t>• Utilized Python and SQL to aggregate and structure multi-source data, supporting federated-style analysis and facilitating the identification of demographic patterns to inform public health strategy.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