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Prepared and synthesized comprehensive meeting notes, agendas, and briefing materials for executive sessions, ensuring all stakeholders received timely follow-up on action items and project milestones.</w:t>
        <w:br/>
      </w:r>
    </w:p>
    <w:p>
      <w:r>
        <w:rPr>
          <w:rFonts w:ascii="Times New Roman" w:hAnsi="Times New Roman"/>
          <w:sz w:val="20"/>
        </w:rPr>
        <w:br/>
        <w:t>• Drafted and refined client proposals, presentations, and correspondence, utilizing advanced Microsoft Office Suite skills to support business development and service delivery initiatives.</w:t>
        <w:br/>
      </w:r>
    </w:p>
    <w:p>
      <w:r>
        <w:rPr>
          <w:rFonts w:ascii="Times New Roman" w:hAnsi="Times New Roman"/>
          <w:sz w:val="20"/>
        </w:rPr>
        <w:br/>
        <w:t>• Leveraged advanced Excel capabilities, including complex pivot tables and data modeling, to create high-impact reporting tools that streamlined project tracking and informed strategic decision-making.</w:t>
        <w:br/>
      </w:r>
    </w:p>
    <w:p>
      <w:r>
        <w:rPr>
          <w:rFonts w:ascii="Times New Roman" w:hAnsi="Times New Roman"/>
          <w:sz w:val="20"/>
        </w:rPr>
        <w:br/>
        <w:t>• Partnered closely with leadership to manage high-level stakeholder relationships, acting as a trusted administrative advisor within professional services-style environments to ensure operational excellence.</w:t>
        <w:br/>
      </w:r>
    </w:p>
    <w:p>
      <w:r>
        <w:rPr>
          <w:rFonts w:ascii="Times New Roman" w:hAnsi="Times New Roman"/>
          <w:sz w:val="20"/>
        </w:rPr>
        <w:br/>
        <w:t>• Applied foundational business administration principles to identify and implement administrative process improvements, resulting in increased office efficiency and standardized record management practices.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