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end-to-end cohort analysis and longitudinal studies to track high-value customer segments, actively identifying confounding variables and data quality issues to ensure statistical accuracy in performance reporting.</w:t>
        <w:br/>
      </w:r>
    </w:p>
    <w:p>
      <w:r>
        <w:rPr>
          <w:rFonts w:ascii="Times New Roman" w:hAnsi="Times New Roman"/>
          <w:sz w:val="20"/>
        </w:rPr>
        <w:br/>
        <w:t>• Designed and implemented self-service analytics tools and standardized QBR templates, enabling cross-functional teams to automate value measurement and reduce manual reporting efforts by 40%.</w:t>
        <w:br/>
      </w:r>
    </w:p>
    <w:p>
      <w:r>
        <w:rPr>
          <w:rFonts w:ascii="Times New Roman" w:hAnsi="Times New Roman"/>
          <w:sz w:val="20"/>
        </w:rPr>
        <w:br/>
        <w:t>• Partnered with leadership to design rigorous experiment frameworks and A/B testing methodologies to measure the impact of marketing initiatives on customer acquisition and long-term retention.</w:t>
        <w:br/>
      </w:r>
    </w:p>
    <w:p>
      <w:r>
        <w:rPr>
          <w:rFonts w:ascii="Times New Roman" w:hAnsi="Times New Roman"/>
          <w:sz w:val="20"/>
        </w:rPr>
        <w:br/>
        <w:t>• Leveraged AI-driven fluency and Python libraries to benchmark operational performance, translating complex SaaS value metrics into compelling, executive-ready data narratives for renewal and strategic planning meetings.</w:t>
        <w:br/>
      </w:r>
    </w:p>
    <w:p>
      <w:r>
        <w:rPr>
          <w:rFonts w:ascii="Times New Roman" w:hAnsi="Times New Roman"/>
          <w:sz w:val="20"/>
        </w:rPr>
        <w:br/>
        <w:t>• Applied advanced analytical rigor to cross-functional projects, effectively communicating methodology, statistical limitations, and value-based insights to C-suite stakeholders and business partners.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