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Monitored client engagement and health metrics using Salesforce and Excel to identify renewal risks, effectively maintaining data integrity across client accounts.</w:t>
        <w:br/>
      </w:r>
    </w:p>
    <w:p>
      <w:r>
        <w:rPr>
          <w:rFonts w:ascii="Times New Roman" w:hAnsi="Times New Roman"/>
          <w:sz w:val="20"/>
        </w:rPr>
        <w:br/>
        <w:t>• Developed and delivered internal product training and video walkthroughs to streamline user onboarding and support SOP documentation.</w:t>
        <w:br/>
      </w:r>
    </w:p>
    <w:p>
      <w:r>
        <w:rPr>
          <w:rFonts w:ascii="Times New Roman" w:hAnsi="Times New Roman"/>
          <w:sz w:val="20"/>
        </w:rPr>
        <w:br/>
        <w:t>• Leveraged Pendo-adjacent analytics tools and Power BI to analyze user engagement data, translating complex platform activity into actionable product and commercial recommendations.</w:t>
        <w:br/>
      </w:r>
    </w:p>
    <w:p>
      <w:r>
        <w:rPr>
          <w:rFonts w:ascii="Times New Roman" w:hAnsi="Times New Roman"/>
          <w:sz w:val="20"/>
        </w:rPr>
        <w:br/>
        <w:t>• Identified opportunities for digital banking operational efficiencies by applying commercial awareness to translate raw client data into actionable insights for stakeholders.</w:t>
        <w:br/>
      </w:r>
    </w:p>
    <w:p>
      <w:r>
        <w:rPr>
          <w:rFonts w:ascii="Times New Roman" w:hAnsi="Times New Roman"/>
          <w:sz w:val="20"/>
        </w:rPr>
        <w:br/>
        <w:t>• Managed user access, profile updates, and ongoing client engagement strategies in Salesforce, ensuring seamless integration of new client accounts.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