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testing protocols on marketing campaigns to measure customer response, refining audience strategies that drove a 300% increase in new customer acquisition.</w:t>
        <w:br/>
      </w:r>
    </w:p>
    <w:p>
      <w:r>
        <w:rPr>
          <w:rFonts w:ascii="Times New Roman" w:hAnsi="Times New Roman"/>
          <w:sz w:val="20"/>
        </w:rPr>
        <w:br/>
        <w:t>• Architected and owned end-to-end performance measurement frameworks for client programs, translating complex experimentation data into clear, actionable reporting for executive stakeholders.</w:t>
        <w:br/>
      </w:r>
    </w:p>
    <w:p>
      <w:r>
        <w:rPr>
          <w:rFonts w:ascii="Times New Roman" w:hAnsi="Times New Roman"/>
          <w:sz w:val="20"/>
        </w:rPr>
        <w:br/>
        <w:t>• Partnered with data science teams to co-develop optimization models, ensuring business requirements were accurately translated into technical modeling and experimentation opportunities.</w:t>
        <w:br/>
      </w:r>
    </w:p>
    <w:p>
      <w:r>
        <w:rPr>
          <w:rFonts w:ascii="Times New Roman" w:hAnsi="Times New Roman"/>
          <w:sz w:val="20"/>
        </w:rPr>
        <w:br/>
        <w:t>• Developed data-driven audience strategies by leveraging customer segmentation insights to align platform content with specific business objectives and campaign goals.</w:t>
        <w:br/>
      </w:r>
    </w:p>
    <w:p>
      <w:r>
        <w:rPr>
          <w:rFonts w:ascii="Times New Roman" w:hAnsi="Times New Roman"/>
          <w:sz w:val="20"/>
        </w:rPr>
        <w:br/>
        <w:t>• Bridged the gap between raw data and marketing strategy by translating analytics-to-strategy insights into narrative reports that influenced long-term customer engagement plans.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