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and machine learning pipelines using Scikit-Learn, performing feature engineering, hyperparameter tuning, and supervised learning to forecast high-value customer segments and loan defaults.</w:t>
        <w:br/>
      </w:r>
    </w:p>
    <w:p>
      <w:r>
        <w:rPr>
          <w:rFonts w:ascii="Times New Roman" w:hAnsi="Times New Roman"/>
          <w:sz w:val="20"/>
        </w:rPr>
        <w:br/>
        <w:t>• Engineered scalable data solutions by implementing distributed processing techniques and PySpark workflows, optimizing data extraction and manipulation for large-scale datasets.</w:t>
        <w:br/>
      </w:r>
    </w:p>
    <w:p>
      <w:r>
        <w:rPr>
          <w:rFonts w:ascii="Times New Roman" w:hAnsi="Times New Roman"/>
          <w:sz w:val="20"/>
        </w:rPr>
        <w:br/>
        <w:t>• Applied natural language processing (NLP) and clustering techniques to interpret unstructured text data and segment customer populations, identifying patterns to inform business strategy.</w:t>
        <w:br/>
      </w:r>
    </w:p>
    <w:p>
      <w:r>
        <w:rPr>
          <w:rFonts w:ascii="Times New Roman" w:hAnsi="Times New Roman"/>
          <w:sz w:val="20"/>
        </w:rPr>
        <w:br/>
        <w:t>• Modernized data infrastructure by deploying containerized services and managing reproducible environments, ensuring consistent model training and reliable deployment of analytical insights.</w:t>
        <w:br/>
      </w:r>
    </w:p>
    <w:p>
      <w:r>
        <w:rPr>
          <w:rFonts w:ascii="Times New Roman" w:hAnsi="Times New Roman"/>
          <w:sz w:val="20"/>
        </w:rPr>
        <w:br/>
        <w:t>• Leveraged experience in data-driven decision-making to perform advanced statistical and qualitative analysis, including regression modeling and pattern recognition to drive outcomes in healthcare and business sectors.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