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Oversaw the administration and maintenance of technical tools and operational platforms (analogous to LMS systems), ensuring 100% system availability and providing troubleshooting support to internal users.</w:t>
        <w:br/>
      </w:r>
    </w:p>
    <w:p>
      <w:r>
        <w:rPr>
          <w:rFonts w:ascii="Times New Roman" w:hAnsi="Times New Roman"/>
          <w:sz w:val="20"/>
        </w:rPr>
        <w:br/>
        <w:t>• Established data governance protocols and SOPs for operational data, ensuring consistent data integrity and accuracy across all reporting dashboards and systems.</w:t>
        <w:br/>
      </w:r>
    </w:p>
    <w:p>
      <w:r>
        <w:rPr>
          <w:rFonts w:ascii="Times New Roman" w:hAnsi="Times New Roman"/>
          <w:sz w:val="20"/>
        </w:rPr>
        <w:br/>
        <w:t>• Developed and tracked program-level metrics and KPIs to measure operational impact, translating technical data into actionable insights for executive leadership.</w:t>
        <w:br/>
      </w:r>
    </w:p>
    <w:p>
      <w:r>
        <w:rPr>
          <w:rFonts w:ascii="Times New Roman" w:hAnsi="Times New Roman"/>
          <w:sz w:val="20"/>
        </w:rPr>
        <w:br/>
        <w:t>• Managed departmental budget tracking and vendor service requests, reconciling monthly invoices and ensuring compliance with financial reporting guidelines.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support internal data collection initiatives, including the analysis of feedback surveys to improve team performance and process efficiency.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