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predictive models and performed funnel analysis on loan portfolio data, identifying key bottlenecks in conversion funnels and reducing default risk by 15%.</w:t>
        <w:br/>
      </w:r>
    </w:p>
    <w:p>
      <w:r>
        <w:rPr>
          <w:rFonts w:ascii="Times New Roman" w:hAnsi="Times New Roman"/>
          <w:sz w:val="20"/>
        </w:rPr>
        <w:br/>
        <w:t>• Engineered automated GTM reporting frameworks using SQL and Python to track pipeline metrics and SaaS unit economics, replacing manual spreadsheets with real-time dashboards.</w:t>
        <w:br/>
      </w:r>
    </w:p>
    <w:p>
      <w:r>
        <w:rPr>
          <w:rFonts w:ascii="Times New Roman" w:hAnsi="Times New Roman"/>
          <w:sz w:val="20"/>
        </w:rPr>
        <w:br/>
        <w:t>• Built and audited financial models in Excel to evaluate customer acquisition costs and retention metrics, providing the leadership team with data-backed revenue forecasts.</w:t>
        <w:br/>
      </w:r>
    </w:p>
    <w:p>
      <w:r>
        <w:rPr>
          <w:rFonts w:ascii="Times New Roman" w:hAnsi="Times New Roman"/>
          <w:sz w:val="20"/>
        </w:rPr>
        <w:br/>
        <w:t>• Orchestrated AI-driven workflows by deploying custom LLM prompts to synthesize qualitative feedback and automate the generation of first-draft SQL queries for rapid strategic analysis.</w:t>
        <w:br/>
      </w:r>
    </w:p>
    <w:p>
      <w:r>
        <w:rPr>
          <w:rFonts w:ascii="Times New Roman" w:hAnsi="Times New Roman"/>
          <w:sz w:val="20"/>
        </w:rPr>
        <w:br/>
        <w:t>• Partnered with executive leadership to influence decision-making by translating complex, high-stakes data findings into actionable GTM strategies and financial narratives.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