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and maintained complex Google Sheets and Excel models for cross-functional reporting, ensuring 100% data accuracy for executive leadership and marketing stakeholders.</w:t>
        <w:br/>
      </w:r>
    </w:p>
    <w:p>
      <w:r>
        <w:rPr>
          <w:rFonts w:ascii="Times New Roman" w:hAnsi="Times New Roman"/>
          <w:sz w:val="20"/>
        </w:rPr>
        <w:br/>
        <w:t>• Provided direct reporting support to the VP-level by generating timely, automated data exports and ad-hoc insights to drive strategic marketing initiatives.</w:t>
        <w:br/>
      </w:r>
    </w:p>
    <w:p>
      <w:r>
        <w:rPr>
          <w:rFonts w:ascii="Times New Roman" w:hAnsi="Times New Roman"/>
          <w:sz w:val="20"/>
        </w:rPr>
        <w:br/>
        <w:t>• Integrated Snowflake and BigQuery data sources into production-level analytics workflows, enabling scalable, real-time marketing performance monitoring.</w:t>
        <w:br/>
      </w:r>
    </w:p>
    <w:p>
      <w:r>
        <w:rPr>
          <w:rFonts w:ascii="Times New Roman" w:hAnsi="Times New Roman"/>
          <w:sz w:val="20"/>
        </w:rPr>
        <w:br/>
        <w:t>• Evaluated and integrated AI tools (ChatGPT/Claude) into daily workflows to automate data cleaning and documentation, accelerating reporting turnaround by 20%.</w:t>
        <w:br/>
      </w:r>
    </w:p>
    <w:p>
      <w:r>
        <w:rPr>
          <w:rFonts w:ascii="Times New Roman" w:hAnsi="Times New Roman"/>
          <w:sz w:val="20"/>
        </w:rPr>
        <w:br/>
        <w:t>• Collaborated with marketing stakeholders to define campaign KPIs, translating business requirements into actionable dashboards that informed high-stakes resource allocation.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