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machine learning models to identify high-value customer segments, utilizing regression techniques to forecast churn and drive targeted marketing initiatives.</w:t>
        <w:br/>
      </w:r>
    </w:p>
    <w:p>
      <w:r>
        <w:rPr>
          <w:rFonts w:ascii="Times New Roman" w:hAnsi="Times New Roman"/>
          <w:sz w:val="20"/>
        </w:rPr>
        <w:br/>
        <w:t>• Performed rigorous statistical analysis and hypothesis testing on operational datasets to optimize workflow efficiency, resulting in a 25% improvement in team throughput.</w:t>
        <w:br/>
      </w:r>
    </w:p>
    <w:p>
      <w:r>
        <w:rPr>
          <w:rFonts w:ascii="Times New Roman" w:hAnsi="Times New Roman"/>
          <w:sz w:val="20"/>
        </w:rPr>
        <w:br/>
        <w:t>• Executed comprehensive data mining processes to extract insights from large-scale insurance testing datasets, applying advanced statistical methods to identify and rectify underlying data quality anomalies.</w:t>
        <w:br/>
      </w:r>
    </w:p>
    <w:p>
      <w:r>
        <w:rPr>
          <w:rFonts w:ascii="Times New Roman" w:hAnsi="Times New Roman"/>
          <w:sz w:val="20"/>
        </w:rPr>
        <w:br/>
        <w:t>• Designed and conducted A/B experimentation frameworks to evaluate the impact of marketing campaigns, utilizing statistical analysis to measure campaign effectiveness and ROI.</w:t>
        <w:br/>
      </w:r>
    </w:p>
    <w:p>
      <w:r>
        <w:rPr>
          <w:rFonts w:ascii="Times New Roman" w:hAnsi="Times New Roman"/>
          <w:sz w:val="20"/>
        </w:rPr>
        <w:br/>
        <w:t>• Leveraged advanced analytical tools to develop, test, and maintain automated reporting scripts, ensuring high data integrity and alignment with business stakeholder requirements.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