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Salesforce CRM data with cross-channel performance metrics to track lifecycle stages and improve data QA processes across retail and e-commerce platforms.</w:t>
        <w:br/>
      </w:r>
    </w:p>
    <w:p>
      <w:r>
        <w:rPr>
          <w:rFonts w:ascii="Times New Roman" w:hAnsi="Times New Roman"/>
          <w:sz w:val="20"/>
        </w:rPr>
        <w:br/>
        <w:t>• Designed and executed A/B testing frameworks, including holdout groups and incrementality analysis, to measure the impact of CRM campaigns on customer retention and loyalty.</w:t>
        <w:br/>
      </w:r>
    </w:p>
    <w:p>
      <w:r>
        <w:rPr>
          <w:rFonts w:ascii="Times New Roman" w:hAnsi="Times New Roman"/>
          <w:sz w:val="20"/>
        </w:rPr>
        <w:br/>
        <w:t>• Partnered with cross-functional teams to translate business requirements into CDP-aligned data structures, improving the accuracy of customer segmentation and channel preference attributes.</w:t>
        <w:br/>
      </w:r>
    </w:p>
    <w:p>
      <w:r>
        <w:rPr>
          <w:rFonts w:ascii="Times New Roman" w:hAnsi="Times New Roman"/>
          <w:sz w:val="20"/>
        </w:rPr>
        <w:br/>
        <w:t>• Utilized GA4 and SQL to perform cohort analysis and lift studies, quantifying the impact of marketing initiatives on multi-channel customer journeys and purchase frequency.</w:t>
        <w:br/>
      </w:r>
    </w:p>
    <w:p>
      <w:r>
        <w:rPr>
          <w:rFonts w:ascii="Times New Roman" w:hAnsi="Times New Roman"/>
          <w:sz w:val="20"/>
        </w:rPr>
        <w:br/>
        <w:t>• Automated reporting for ESP and clienteling outreach, providing actionable insights that optimized customer lifecycle management and personalized engagement strategies.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