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ingestion pipelines capable of handling large-scale datasets, utilizing distributed processing patterns to optimize data throughput for time-sensitive analysis.</w:t>
        <w:br/>
      </w:r>
    </w:p>
    <w:p>
      <w:r>
        <w:rPr>
          <w:rFonts w:ascii="Times New Roman" w:hAnsi="Times New Roman"/>
          <w:sz w:val="20"/>
        </w:rPr>
        <w:br/>
        <w:t>• Applied professional rigor to ensure data integrity, leveraging expertise in relational databases and SQL optimization similar to environments found in high-frequency trading or financial services.</w:t>
        <w:br/>
      </w:r>
    </w:p>
    <w:p>
      <w:r>
        <w:rPr>
          <w:rFonts w:ascii="Times New Roman" w:hAnsi="Times New Roman"/>
          <w:sz w:val="20"/>
        </w:rPr>
        <w:br/>
        <w:t>• Architected robust ETL/ELT workflows using Python and Apache Airflow to manage complex data dependencies, ensuring reliable delivery in high-stakes production environments.</w:t>
        <w:br/>
      </w:r>
    </w:p>
    <w:p>
      <w:r>
        <w:rPr>
          <w:rFonts w:ascii="Times New Roman" w:hAnsi="Times New Roman"/>
          <w:sz w:val="20"/>
        </w:rPr>
        <w:br/>
        <w:t>• Designed and maintained dimensional models that support complex analytical queries, ensuring high performance in cloud data warehouses like BigQuery, with transferable knowledge to Redshift and Snowflake architectures.</w:t>
        <w:br/>
      </w:r>
    </w:p>
    <w:p>
      <w:r>
        <w:rPr>
          <w:rFonts w:ascii="Times New Roman" w:hAnsi="Times New Roman"/>
          <w:sz w:val="20"/>
        </w:rPr>
        <w:br/>
        <w:t>• Developed production-grade data quality frameworks using Great Expectations, maintaining high standards for accuracy and reliability while collaborating across cross-functional technical teams.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