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Engineered predictive features from raw loan data and implemented supervised machine learning models, including logistic regression and classification techniques, to identify default risk factors.</w:t>
        <w:br/>
      </w:r>
    </w:p>
    <w:p>
      <w:r>
        <w:rPr>
          <w:rFonts w:ascii="Times New Roman" w:hAnsi="Times New Roman"/>
          <w:sz w:val="20"/>
        </w:rPr>
        <w:br/>
        <w:t>• Applied unsupervised clustering techniques to high-dimensional customer data, identifying distinct segments to improve the precision of targeted marketing campaigns and enhance campaign measurement.</w:t>
        <w:br/>
      </w:r>
    </w:p>
    <w:p>
      <w:r>
        <w:rPr>
          <w:rFonts w:ascii="Times New Roman" w:hAnsi="Times New Roman"/>
          <w:sz w:val="20"/>
        </w:rPr>
        <w:br/>
        <w:t>• Performed rigorous A/B testing on marketing initiatives and digital touchpoints to evaluate performance, optimize conversion rates, and provide actionable recommendations for campaign ROI.</w:t>
        <w:br/>
      </w:r>
    </w:p>
    <w:p>
      <w:r>
        <w:rPr>
          <w:rFonts w:ascii="Times New Roman" w:hAnsi="Times New Roman"/>
          <w:sz w:val="20"/>
        </w:rPr>
        <w:br/>
        <w:t>• Developed end-to-end machine learning pipelines for lead-to-loyalty orchestration, utilizing Python libraries to clean and transform marketing datasets for predictive model ingestion.</w:t>
        <w:br/>
      </w:r>
    </w:p>
    <w:p>
      <w:r>
        <w:rPr>
          <w:rFonts w:ascii="Times New Roman" w:hAnsi="Times New Roman"/>
          <w:sz w:val="20"/>
        </w:rPr>
        <w:br/>
        <w:t>• Designed and validated machine learning proofs of concept, interpreting complex model results into strategic insights for stakeholders to drive customer-centric business value.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