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marketing performance by designing A/B testing experiments and developing measurement frameworks to track conversion lift across paid and organic channels.</w:t>
        <w:br/>
      </w:r>
    </w:p>
    <w:p>
      <w:r>
        <w:rPr>
          <w:rFonts w:ascii="Times New Roman" w:hAnsi="Times New Roman"/>
          <w:sz w:val="20"/>
        </w:rPr>
        <w:br/>
        <w:t>• Engineered comprehensive tagging strategies and data capture plans to ensure accurate ingestion of customer journey data into Salesforce Marketing Cloud and other CRM platforms.</w:t>
        <w:br/>
      </w:r>
    </w:p>
    <w:p>
      <w:r>
        <w:rPr>
          <w:rFonts w:ascii="Times New Roman" w:hAnsi="Times New Roman"/>
          <w:sz w:val="20"/>
        </w:rPr>
        <w:br/>
        <w:t>• Developed advanced attribution models and marketing mix modeling approaches to evaluate the ROI of multi-channel campaigns, providing actionable insights for executive stakeholders.</w:t>
        <w:br/>
      </w:r>
    </w:p>
    <w:p>
      <w:r>
        <w:rPr>
          <w:rFonts w:ascii="Times New Roman" w:hAnsi="Times New Roman"/>
          <w:sz w:val="20"/>
        </w:rPr>
        <w:br/>
        <w:t>• Leveraged SQL and Python to build automated data pipelines for large-scale marketing datasets, bridging gaps between raw campaign performance and business intelligence platforms like Looker.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execute experimentation deployment, utilizing data-driven insights to refine targeting strategies and maximize customer lifetime value.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