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predictive response and lookalike models using Python (Scikit-Learn/Pandas) to identify high-value customer segments, directly supporting marketing campaign targeting and customer acquisition strategies.</w:t>
        <w:br/>
      </w:r>
    </w:p>
    <w:p>
      <w:r>
        <w:rPr>
          <w:rFonts w:ascii="Times New Roman" w:hAnsi="Times New Roman"/>
          <w:sz w:val="20"/>
        </w:rPr>
        <w:br/>
        <w:t>• Managed and queried diverse data structures including SQL-based relational databases, PostgreSQL, and legacy MS Access environments to extract actionable insights for business stakeholders.</w:t>
        <w:br/>
      </w:r>
    </w:p>
    <w:p>
      <w:r>
        <w:rPr>
          <w:rFonts w:ascii="Times New Roman" w:hAnsi="Times New Roman"/>
          <w:sz w:val="20"/>
        </w:rPr>
        <w:br/>
        <w:t>• Leveraged advanced statistical methodologies including regression and trend analysis to replicate functionality similar to IBM SPSS for customer behavior forecasting and KPI tracking.</w:t>
        <w:br/>
      </w:r>
    </w:p>
    <w:p>
      <w:r>
        <w:rPr>
          <w:rFonts w:ascii="Times New Roman" w:hAnsi="Times New Roman"/>
          <w:sz w:val="20"/>
        </w:rPr>
        <w:br/>
        <w:t>• Expanded AWS cloud utilization beyond S3, managing automated data pipelines and cloud-based repository integration to support large-scale analytical workloads.</w:t>
        <w:br/>
      </w:r>
    </w:p>
    <w:p>
      <w:r>
        <w:rPr>
          <w:rFonts w:ascii="Times New Roman" w:hAnsi="Times New Roman"/>
          <w:sz w:val="20"/>
        </w:rPr>
        <w:br/>
        <w:t>• Integrated Salesforce CRM data with external marketing metrics to conduct comprehensive campaign measurement and omni-channel performance analysis.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