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A/B testing frameworks to evaluate website performance and campaign efficacy, utilizing SQL and Tableau to identify optimal user experiences and improve conversion rates.</w:t>
        <w:br/>
      </w:r>
    </w:p>
    <w:p>
      <w:r>
        <w:rPr>
          <w:rFonts w:ascii="Times New Roman" w:hAnsi="Times New Roman"/>
          <w:sz w:val="20"/>
        </w:rPr>
        <w:br/>
        <w:t>• Integrated Salesforce CRM data with cross-channel marketing platforms to perform granular customer segmentation, driving personalized engagement strategies across social and email channels.</w:t>
        <w:br/>
      </w:r>
    </w:p>
    <w:p>
      <w:r>
        <w:rPr>
          <w:rFonts w:ascii="Times New Roman" w:hAnsi="Times New Roman"/>
          <w:sz w:val="20"/>
        </w:rPr>
        <w:br/>
        <w:t>• Engineered and executed digital marketing measurement plans, utilizing VLOOKUP and advanced Excel functions to reconcile data across display, search, and social media channels.</w:t>
        <w:br/>
      </w:r>
    </w:p>
    <w:p>
      <w:r>
        <w:rPr>
          <w:rFonts w:ascii="Times New Roman" w:hAnsi="Times New Roman"/>
          <w:sz w:val="20"/>
        </w:rPr>
        <w:br/>
        <w:t>• Applied statistical analysis to determine 'addressable relationship' metrics, connecting fragmented customer data points to provide a holistic view of the marketing ecosystem.</w:t>
        <w:br/>
      </w:r>
    </w:p>
    <w:p>
      <w:r>
        <w:rPr>
          <w:rFonts w:ascii="Times New Roman" w:hAnsi="Times New Roman"/>
          <w:sz w:val="20"/>
        </w:rPr>
        <w:br/>
        <w:t>• Optimized marketing campaign performance by implementing A/B testing protocols, resulting in actionable recommendations that scaled high-performing ad creative.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