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applying ETL/ELT principles to eliminate repetitive data entry, saving 8 hours per week, and improving reporting accuracy for faster strategic decisions.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applying advanced data governance principles to reduce data mismatches and improve work efficiency by 40%.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support media measurement strategies.</w:t>
        <w:br/>
      </w:r>
    </w:p>
    <w:p>
      <w:r>
        <w:rPr>
          <w:rFonts w:ascii="Times New Roman" w:hAnsi="Times New Roman"/>
          <w:sz w:val="20"/>
        </w:rPr>
        <w:br/>
        <w:t>• Created statistical models to identify high-value customer segments, utilizing techniques akin to supervised learning; targeted marketing initiatives informed by these models contributed to a 300% increase in revenue in the targeted segment over 12 months.</w:t>
        <w:br/>
      </w:r>
    </w:p>
    <w:p>
      <w:r>
        <w:rPr>
          <w:rFonts w:ascii="Times New Roman" w:hAnsi="Times New Roman"/>
          <w:sz w:val="20"/>
        </w:rPr>
        <w:br/>
        <w:t>• Translated complex technical findings into business recommendations during stakeholder meetings to close the gap between raw data and growth strategy, fostering strong client relationships and demonstrating a data-driven approach to business challenges.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