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SQL Server and relational database queries (using CTEs and complex joins) to perform rigorous data audits, improving data accuracy by 60% and ensuring consistency across reporting systems.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translate complex data requirements into clear documentation and operational workflows, facilitating precise communication between technical staff and non-technical stakeholders.</w:t>
        <w:br/>
      </w:r>
    </w:p>
    <w:p>
      <w:r>
        <w:rPr>
          <w:rFonts w:ascii="Times New Roman" w:hAnsi="Times New Roman"/>
          <w:sz w:val="20"/>
        </w:rPr>
        <w:br/>
        <w:t>• Standardized organizational data governance frameworks and reporting procedures, ensuring high data integrity and alignment with internal audit compliance standards.</w:t>
        <w:br/>
      </w:r>
    </w:p>
    <w:p>
      <w:r>
        <w:rPr>
          <w:rFonts w:ascii="Times New Roman" w:hAnsi="Times New Roman"/>
          <w:sz w:val="20"/>
        </w:rPr>
        <w:br/>
        <w:t>• Managed mission-critical data pipelines and automated reporting workflows, demonstrating the ability to perform under pressure while prioritizing tasks to meet strict operational deadlines.</w:t>
        <w:br/>
      </w:r>
    </w:p>
    <w:p>
      <w:r>
        <w:rPr>
          <w:rFonts w:ascii="Times New Roman" w:hAnsi="Times New Roman"/>
          <w:sz w:val="20"/>
        </w:rPr>
        <w:br/>
        <w:t>• Leveraged experience in data reconciliation and system integration to troubleshoot discrepancies, ensuring information shared with external agencies remains accurate, timely, and secure.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