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(using Microsoft SQL Server and CTEs/window functions) to clean and reconcile insurance testing data, improving data accuracy by 30%.</w:t>
        <w:br/>
      </w:r>
    </w:p>
    <w:p>
      <w:r>
        <w:rPr>
          <w:rFonts w:ascii="Times New Roman" w:hAnsi="Times New Roman"/>
          <w:sz w:val="20"/>
        </w:rPr>
        <w:br/>
        <w:t>• Developed robust SQL reporting protocols and data audit workflows to ensure data integrity for cross-functional departments, mirroring professional data management standards.</w:t>
        <w:br/>
      </w:r>
    </w:p>
    <w:p>
      <w:r>
        <w:rPr>
          <w:rFonts w:ascii="Times New Roman" w:hAnsi="Times New Roman"/>
          <w:sz w:val="20"/>
        </w:rPr>
        <w:br/>
        <w:t>• Collaborated with IT teams to improve in-house application efficiency, documenting workflows to ensure data consistency across multiple source systems.</w:t>
        <w:br/>
      </w:r>
    </w:p>
    <w:p>
      <w:r>
        <w:rPr>
          <w:rFonts w:ascii="Times New Roman" w:hAnsi="Times New Roman"/>
          <w:sz w:val="20"/>
        </w:rPr>
        <w:br/>
        <w:t>• Demonstrated a high level of discretion and diplomacy when managing confidential data, ensuring compliance with strict organizational data handling and security protocols.</w:t>
        <w:br/>
      </w:r>
    </w:p>
    <w:p>
      <w:r>
        <w:rPr>
          <w:rFonts w:ascii="Times New Roman" w:hAnsi="Times New Roman"/>
          <w:sz w:val="20"/>
        </w:rPr>
        <w:br/>
        <w:t>• Leveraged Power BI to build automated reporting suites, effectively managing competing priorities to deliver high-quality data insights under strict deadlines.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