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Acted as a high-level gatekeeper and strategic partner for C-suite leadership, managing complex global travel across time zones and filtering communications to ensure executive focus on core business objectives.</w:t>
        <w:br/>
      </w:r>
    </w:p>
    <w:p>
      <w:r>
        <w:rPr>
          <w:rFonts w:ascii="Times New Roman" w:hAnsi="Times New Roman"/>
          <w:sz w:val="20"/>
        </w:rPr>
        <w:br/>
        <w:t>• Streamlined executive workflows by implementing AI-powered productivity tools and automated scheduling systems, successfully bringing structure to chaotic, fast-paced environments.</w:t>
        <w:br/>
      </w:r>
    </w:p>
    <w:p>
      <w:r>
        <w:rPr>
          <w:rFonts w:ascii="Times New Roman" w:hAnsi="Times New Roman"/>
          <w:sz w:val="20"/>
        </w:rPr>
        <w:br/>
        <w:t>• Managed end-to-end meeting lifecycles, including the creation of high-impact briefing materials, rigorous action-tracking, and systematic follow-ups to ensure executive accountability.</w:t>
        <w:br/>
      </w:r>
    </w:p>
    <w:p>
      <w:r>
        <w:rPr>
          <w:rFonts w:ascii="Times New Roman" w:hAnsi="Times New Roman"/>
          <w:sz w:val="20"/>
        </w:rPr>
        <w:br/>
        <w:t>• Leveraged a tech-forward mindset to integrate emerging software solutions and CRM enhancements, consistently finding innovative ways to 'make things happen' and improve operational efficiency.</w:t>
        <w:br/>
      </w:r>
    </w:p>
    <w:p>
      <w:r>
        <w:rPr>
          <w:rFonts w:ascii="Times New Roman" w:hAnsi="Times New Roman"/>
          <w:sz w:val="20"/>
        </w:rPr>
        <w:br/>
        <w:t>• Fully committed to a high-touch, in-office presence, providing dedicated 5-day-a-week support to facilitate seamless cross-functional collaboration and immediate, real-time executive problem-solving.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