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end-to-end campaign reporting and performance tracking for marketing initiatives, utilizing Google Sheets and Slides to present actionable insights to stakeholders.</w:t>
        <w:br/>
      </w:r>
    </w:p>
    <w:p>
      <w:r>
        <w:rPr>
          <w:rFonts w:ascii="Times New Roman" w:hAnsi="Times New Roman"/>
          <w:sz w:val="20"/>
        </w:rPr>
        <w:br/>
        <w:t>• Partnered with cross-functional sales teams to provide data-driven sales enablement materials, translating complex performance metrics into clear, client-facing business recommendations.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 for marketing campaigns, leveraging SQL and statistical modeling to optimize conversion rates and customer engagement.</w:t>
        <w:br/>
      </w:r>
    </w:p>
    <w:p>
      <w:r>
        <w:rPr>
          <w:rFonts w:ascii="Times New Roman" w:hAnsi="Times New Roman"/>
          <w:sz w:val="20"/>
        </w:rPr>
        <w:br/>
        <w:t>• Analyzed large-scale datasets to derive media analytics and consumer insights, directly informing campaign measurement strategies and ROI improvements.</w:t>
        <w:br/>
      </w:r>
    </w:p>
    <w:p>
      <w:r>
        <w:rPr>
          <w:rFonts w:ascii="Times New Roman" w:hAnsi="Times New Roman"/>
          <w:sz w:val="20"/>
        </w:rPr>
        <w:br/>
        <w:t>• Collaborated with marketing leads to deliver in-depth campaign reporting using Google Analytics, identifying key trends to guide budget allocation and merchant-side growth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