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predictive propensity models and lead scoring frameworks to identify high-value customer segments, directly supporting Account-Based Marketing (ABM) initiatives that increased targeted segment revenue by 300%.</w:t>
        <w:br/>
      </w:r>
    </w:p>
    <w:p>
      <w:r>
        <w:rPr>
          <w:rFonts w:ascii="Times New Roman" w:hAnsi="Times New Roman"/>
          <w:sz w:val="20"/>
        </w:rPr>
        <w:br/>
        <w:t>• Developed multi-touch attribution models to quantify campaign effectiveness, providing data-backed recommendations that optimized capital allocation across demand generation channels.</w:t>
        <w:br/>
      </w:r>
    </w:p>
    <w:p>
      <w:r>
        <w:rPr>
          <w:rFonts w:ascii="Times New Roman" w:hAnsi="Times New Roman"/>
          <w:sz w:val="20"/>
        </w:rPr>
        <w:br/>
        <w:t>• Executed time-series forecasting and trend analysis on pipeline data to assist leadership in quarterly revenue planning and demand generation forecasting.</w:t>
        <w:br/>
      </w:r>
    </w:p>
    <w:p>
      <w:r>
        <w:rPr>
          <w:rFonts w:ascii="Times New Roman" w:hAnsi="Times New Roman"/>
          <w:sz w:val="20"/>
        </w:rPr>
        <w:br/>
        <w:t>• Collaborated with marketing stakeholders to implement Market Mix Modeling (MMM) methodologies, measuring the incremental lift of multi-channel B2B marketing investments.</w:t>
        <w:br/>
      </w:r>
    </w:p>
    <w:p>
      <w:r>
        <w:rPr>
          <w:rFonts w:ascii="Times New Roman" w:hAnsi="Times New Roman"/>
          <w:sz w:val="20"/>
        </w:rPr>
        <w:br/>
        <w:t>• Designed and monitored complex B2B sales funnel metrics, identifying friction points in the conversion process to enhance acquisition performance and customer retention.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