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from disparate sources into centralized data warehousing environments, ensuring schema consistency and high-performance data accessibility.</w:t>
        <w:br/>
      </w:r>
    </w:p>
    <w:p>
      <w:r>
        <w:rPr>
          <w:rFonts w:ascii="Times New Roman" w:hAnsi="Times New Roman"/>
          <w:sz w:val="20"/>
        </w:rPr>
        <w:br/>
        <w:t>• Designed and documented robust data governance protocols and SOPs to maintain data quality, integrity, and compliance across all operational reporting streams.</w:t>
        <w:br/>
      </w:r>
    </w:p>
    <w:p>
      <w:r>
        <w:rPr>
          <w:rFonts w:ascii="Times New Roman" w:hAnsi="Times New Roman"/>
          <w:sz w:val="20"/>
        </w:rPr>
        <w:br/>
        <w:t>• Architected scalable data structures and ETL pipelines within cloud environments (Snowflake/BigQuery) to support large-scale analytical workloads and automated reporting.</w:t>
        <w:br/>
      </w:r>
    </w:p>
    <w:p>
      <w:r>
        <w:rPr>
          <w:rFonts w:ascii="Times New Roman" w:hAnsi="Times New Roman"/>
          <w:sz w:val="20"/>
        </w:rPr>
        <w:br/>
        <w:t>• Built and optimized end-to-end scalable data architecture for loan portfolio risk models, ensuring data readiness for high-frequency investment decision-making.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align data infrastructure and reporting tool development with enterprise-wide data governance and scalability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