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executive-level Power BI dashboards to track financial performance and operational metrics, conducting variance analysis to support strategic decision-making for leadership stakeholders.</w:t>
        <w:br/>
      </w:r>
    </w:p>
    <w:p>
      <w:r>
        <w:rPr>
          <w:rFonts w:ascii="Times New Roman" w:hAnsi="Times New Roman"/>
          <w:sz w:val="20"/>
        </w:rPr>
        <w:br/>
        <w:t>• Led operational performance reporting initiatives, including forecasting support and trend analysis, to align cross-functional goals with large-scale organizational objectives.</w:t>
        <w:br/>
      </w:r>
    </w:p>
    <w:p>
      <w:r>
        <w:rPr>
          <w:rFonts w:ascii="Times New Roman" w:hAnsi="Times New Roman"/>
          <w:sz w:val="20"/>
        </w:rPr>
        <w:br/>
        <w:t>• Translated complex datasets into clear, actionable financial and operational insights, presenting key findings to senior executives to drive high-impact decision-making.</w:t>
        <w:br/>
      </w:r>
    </w:p>
    <w:p>
      <w:r>
        <w:rPr>
          <w:rFonts w:ascii="Times New Roman" w:hAnsi="Times New Roman"/>
          <w:sz w:val="20"/>
        </w:rPr>
        <w:br/>
        <w:t>• Standardized data governance frameworks and reporting templates for large datasets, ensuring data integrity and consistency for government-facing project proposals.</w:t>
        <w:br/>
      </w:r>
    </w:p>
    <w:p>
      <w:r>
        <w:rPr>
          <w:rFonts w:ascii="Times New Roman" w:hAnsi="Times New Roman"/>
          <w:sz w:val="20"/>
        </w:rPr>
        <w:br/>
        <w:t>• Collaborated in fast-paced, high-stakes environments, contributing technical reporting solutions to cross-functional teams focused on winning and executing contract-driven engagements.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