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deployed data pipelines utilizing Cloud Composer (Airflow) for orchestration and integrated Cloud Functions to automate event-driven triggers within the GCP ecosystem.</w:t>
        <w:br/>
      </w:r>
    </w:p>
    <w:p>
      <w:r>
        <w:rPr>
          <w:rFonts w:ascii="Times New Roman" w:hAnsi="Times New Roman"/>
          <w:sz w:val="20"/>
        </w:rPr>
        <w:br/>
        <w:t>• Engineered robust streaming and batch data architectures, leveraging Pub/Sub for real-time ingestion and configuring Cloud Storage (GCS) lifecycles to optimize storage costs and performance.</w:t>
        <w:br/>
      </w:r>
    </w:p>
    <w:p>
      <w:r>
        <w:rPr>
          <w:rFonts w:ascii="Times New Roman" w:hAnsi="Times New Roman"/>
          <w:sz w:val="20"/>
        </w:rPr>
        <w:br/>
        <w:t>• Implemented rigorous data governance, incorporating IAM roles for least-privilege access and enforcing security best practices including encryption (CMEK) and VPC Service Controls to protect sensitive data.</w:t>
        <w:br/>
      </w:r>
    </w:p>
    <w:p>
      <w:r>
        <w:rPr>
          <w:rFonts w:ascii="Times New Roman" w:hAnsi="Times New Roman"/>
          <w:sz w:val="20"/>
        </w:rPr>
        <w:br/>
        <w:t>• Built and containerized data processing applications using Docker and Cloud Run to ensure scalable, portable, and secure deployment across distributed environments.</w:t>
        <w:br/>
      </w:r>
    </w:p>
    <w:p>
      <w:r>
        <w:rPr>
          <w:rFonts w:ascii="Times New Roman" w:hAnsi="Times New Roman"/>
          <w:sz w:val="20"/>
        </w:rPr>
        <w:br/>
        <w:t>• Optimized BigQuery performance by applying advanced techniques including materialized views, partitioning, and clustering while monitoring resource utilization through GCP logging and monitoring.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