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Power BI and Looker workflows, enhancing executive-level risk reporting by replacing manual processes, reducing data mismatches, and improving work efficiency by 40%.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campaigns, providing statistical evidence for optimized marketing spend and contributing to early risk detection through audience response analysis.</w:t>
        <w:br/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 and a consistent 'single source of truth' for all business stakeholders, reducing report discrepancies and aligning with internal data governance standards.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reports, ingesting POS and CRM data to eliminate repetitive data entry, save 8 hours per week, and improve reporting accuracy for faster strategic decisions, demonstrating a proactive approach to process optimization.</w:t>
        <w:br/>
      </w:r>
    </w:p>
    <w:p>
      <w:r>
        <w:rPr>
          <w:rFonts w:ascii="Times New Roman" w:hAnsi="Times New Roman"/>
          <w:sz w:val="20"/>
        </w:rPr>
        <w:br/>
        <w:t>• Collaborated with product managers on a 14-person team, translating complex findings into actionable recommendations for stakeholders, streamlining the software development workflow, and driving a 15% increase in feature adoption by addressing friction points.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