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predictive machine learning models to identify borrower default risk, utilizing feature selection techniques to optimize classifier performance and improve risk assessment accuracy.</w:t>
        <w:br/>
      </w:r>
    </w:p>
    <w:p>
      <w:r>
        <w:rPr>
          <w:rFonts w:ascii="Times New Roman" w:hAnsi="Times New Roman"/>
          <w:sz w:val="20"/>
        </w:rPr>
        <w:br/>
        <w:t>• Performed extensive data mining on a 2M+ row loan portfolio to extract usable insights, applying behavior clustering to segment high-risk populations for targeted risk mitigation.</w:t>
        <w:br/>
      </w:r>
    </w:p>
    <w:p>
      <w:r>
        <w:rPr>
          <w:rFonts w:ascii="Times New Roman" w:hAnsi="Times New Roman"/>
          <w:sz w:val="20"/>
        </w:rPr>
        <w:br/>
        <w:t>• Utilized advanced statistical methods, including regression analysis and probability distributions, to validate data integrity and identify anomalies for anti-money laundering and fraud detection workflows.</w:t>
        <w:br/>
      </w:r>
    </w:p>
    <w:p>
      <w:r>
        <w:rPr>
          <w:rFonts w:ascii="Times New Roman" w:hAnsi="Times New Roman"/>
          <w:sz w:val="20"/>
        </w:rPr>
        <w:br/>
        <w:t>• Conducted network/link analysis on transactional data to identify complex relationships between entities, supporting fraud risk management and identifying suspicious patterns.</w:t>
        <w:br/>
      </w:r>
    </w:p>
    <w:p>
      <w:r>
        <w:rPr>
          <w:rFonts w:ascii="Times New Roman" w:hAnsi="Times New Roman"/>
          <w:sz w:val="20"/>
        </w:rPr>
        <w:br/>
        <w:t>• Applied foundational knowledge of linear algebra and multivariable calculus to refine algorithmic optimization, ensuring high performance and accuracy in predictive modeling projects.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