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cross-functionally with Underwriting and Product teams at Haven Technologies to reconcile complex insurance data, gaining direct exposure to healthcare-adjacent data environments and EHR-style record structures.</w:t>
        <w:br/>
      </w:r>
    </w:p>
    <w:p>
      <w:r>
        <w:rPr>
          <w:rFonts w:ascii="Times New Roman" w:hAnsi="Times New Roman"/>
          <w:sz w:val="20"/>
        </w:rPr>
        <w:br/>
        <w:t>• Engineered scalable data solutions and documentation to support complex system implementations, demonstrating a high aptitude for the onsite stakeholder collaboration and travel required in a Technical Solutions Engineer capacity.</w:t>
        <w:br/>
      </w:r>
    </w:p>
    <w:p>
      <w:r>
        <w:rPr>
          <w:rFonts w:ascii="Times New Roman" w:hAnsi="Times New Roman"/>
          <w:sz w:val="20"/>
        </w:rPr>
        <w:br/>
        <w:t>• Currently pursuing opportunities in Madison, WI, and fully prepared to relocate to the area to support Epic’s mission-critical operations; eligible for employment in the U.S. without sponsorship.</w:t>
        <w:br/>
      </w:r>
    </w:p>
    <w:p>
      <w:r>
        <w:rPr>
          <w:rFonts w:ascii="Times New Roman" w:hAnsi="Times New Roman"/>
          <w:sz w:val="20"/>
        </w:rPr>
        <w:br/>
        <w:t>• Maintained rigorous data integrity and compliance standards, committed to professional health and safety requirements including COVID-19 vaccination protocols.</w:t>
        <w:br/>
      </w:r>
    </w:p>
    <w:p>
      <w:r>
        <w:rPr>
          <w:rFonts w:ascii="Times New Roman" w:hAnsi="Times New Roman"/>
          <w:sz w:val="20"/>
        </w:rPr>
        <w:br/>
        <w:t>• Leveraged advanced SQL and relational database expertise to troubleshoot complex data bottlenecks, mirroring the high-level problem-solving and diagnostic rigor required for Epic’s software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