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complex financial datasets to provide strategic insights for business stakeholders, mirroring the analytical rigor required for Banking and Capital Markets (BCM) sector research.</w:t>
        <w:br/>
      </w:r>
    </w:p>
    <w:p>
      <w:r>
        <w:rPr>
          <w:rFonts w:ascii="Times New Roman" w:hAnsi="Times New Roman"/>
          <w:sz w:val="20"/>
        </w:rPr>
        <w:br/>
        <w:t>• Collaborated with product managers and cross-functional teams to align technical deliverables with strategic business goals, demonstrating a high-level aptitude for cross-sector collaboration.</w:t>
        <w:br/>
      </w:r>
    </w:p>
    <w:p>
      <w:r>
        <w:rPr>
          <w:rFonts w:ascii="Times New Roman" w:hAnsi="Times New Roman"/>
          <w:sz w:val="20"/>
        </w:rPr>
        <w:br/>
        <w:t>• Translated technical data findings into executive-level presentations for leadership, effectively influencing strategic decision-making and project prioritization.</w:t>
        <w:br/>
      </w:r>
    </w:p>
    <w:p>
      <w:r>
        <w:rPr>
          <w:rFonts w:ascii="Times New Roman" w:hAnsi="Times New Roman"/>
          <w:sz w:val="20"/>
        </w:rPr>
        <w:br/>
        <w:t>• Coached team members on data visualization best practices and SQL query optimization, fostering a culture of continuous learning and improved analytical competency.</w:t>
        <w:br/>
      </w:r>
    </w:p>
    <w:p>
      <w:r>
        <w:rPr>
          <w:rFonts w:ascii="Times New Roman" w:hAnsi="Times New Roman"/>
          <w:sz w:val="20"/>
        </w:rPr>
        <w:br/>
        <w:t>• Conducted quantitative and qualitative research on economic trends to support strategic forecasting, delivering actionable intelligence aligned with industry-standard performance metrics.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