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executed A/B testing frameworks for marketing campaigns, analyzing conversion lift and user behavior to refine customer targeting and maximize Total Value Generated.</w:t>
        <w:br/>
      </w:r>
    </w:p>
    <w:p>
      <w:r>
        <w:rPr>
          <w:rFonts w:ascii="Times New Roman" w:hAnsi="Times New Roman"/>
          <w:sz w:val="20"/>
        </w:rPr>
        <w:br/>
        <w:t>• Led retention-focused analysis by identifying churn triggers and high-value customer segments, implementing data-driven strategies that increased recurring subscription engagement.</w:t>
        <w:br/>
      </w:r>
    </w:p>
    <w:p>
      <w:r>
        <w:rPr>
          <w:rFonts w:ascii="Times New Roman" w:hAnsi="Times New Roman"/>
          <w:sz w:val="20"/>
        </w:rPr>
        <w:br/>
        <w:t>• Owned the end-to-end management of referral (RAF) program performance, providing actionable insights to leadership and coordinating with channel managers to optimize activation rates.</w:t>
        <w:br/>
      </w:r>
    </w:p>
    <w:p>
      <w:r>
        <w:rPr>
          <w:rFonts w:ascii="Times New Roman" w:hAnsi="Times New Roman"/>
          <w:sz w:val="20"/>
        </w:rPr>
        <w:br/>
        <w:t>• Collaborated with product marketing to align messaging strategy with granular performance data, ensuring cohesive local market execution and increased campaign efficiency.</w:t>
        <w:br/>
      </w:r>
    </w:p>
    <w:p>
      <w:r>
        <w:rPr>
          <w:rFonts w:ascii="Times New Roman" w:hAnsi="Times New Roman"/>
          <w:sz w:val="20"/>
        </w:rPr>
        <w:br/>
        <w:t>• Drove growth initiatives by tracking and optimizing activation funnels, successfully removing operational bottlenecks to improve user acquisition and brand consistency.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